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4DF" w:rsidRPr="004114DF" w:rsidRDefault="004114DF" w:rsidP="004114DF">
      <w:pPr>
        <w:autoSpaceDE w:val="0"/>
        <w:autoSpaceDN w:val="0"/>
        <w:adjustRightInd w:val="0"/>
        <w:jc w:val="center"/>
        <w:rPr>
          <w:rFonts w:ascii="Lucida Handwriting" w:hAnsi="Lucida Handwriting" w:cs="Lucida Handwriting"/>
          <w:color w:val="000000"/>
          <w:sz w:val="32"/>
          <w:szCs w:val="32"/>
        </w:rPr>
      </w:pPr>
      <w:r w:rsidRPr="004114DF">
        <w:rPr>
          <w:rFonts w:ascii="Lucida Handwriting" w:hAnsi="Lucida Handwriting" w:cs="Lucida Handwriting"/>
          <w:color w:val="000000"/>
          <w:sz w:val="32"/>
          <w:szCs w:val="32"/>
        </w:rPr>
        <w:t xml:space="preserve">Through God’s love and </w:t>
      </w:r>
      <w:r w:rsidRPr="004114DF">
        <w:rPr>
          <w:rFonts w:ascii="Lucida Handwriting" w:hAnsi="Lucida Handwriting" w:cs="Lucida Handwriting"/>
          <w:color w:val="000000"/>
          <w:sz w:val="32"/>
          <w:szCs w:val="32"/>
        </w:rPr>
        <w:t>encouragement,</w:t>
      </w:r>
      <w:r w:rsidRPr="004114DF">
        <w:rPr>
          <w:rFonts w:ascii="Lucida Handwriting" w:hAnsi="Lucida Handwriting" w:cs="Lucida Handwriting"/>
          <w:color w:val="000000"/>
          <w:sz w:val="32"/>
          <w:szCs w:val="32"/>
        </w:rPr>
        <w:t xml:space="preserve"> we aspire for all to achieve their potential</w:t>
      </w:r>
    </w:p>
    <w:p w:rsidR="004114DF" w:rsidRPr="004114DF" w:rsidRDefault="004114DF" w:rsidP="004114DF">
      <w:pPr>
        <w:autoSpaceDE w:val="0"/>
        <w:autoSpaceDN w:val="0"/>
        <w:adjustRightInd w:val="0"/>
        <w:rPr>
          <w:rFonts w:ascii="Lucida Handwriting" w:hAnsi="Lucida Handwriting"/>
          <w:sz w:val="24"/>
          <w:szCs w:val="24"/>
        </w:rPr>
      </w:pPr>
    </w:p>
    <w:p w:rsidR="004114DF" w:rsidRPr="004114DF" w:rsidRDefault="004114DF" w:rsidP="004114DF">
      <w:pPr>
        <w:autoSpaceDE w:val="0"/>
        <w:autoSpaceDN w:val="0"/>
        <w:adjustRightInd w:val="0"/>
        <w:rPr>
          <w:rFonts w:ascii="Lucida Handwriting" w:hAnsi="Lucida Handwriting"/>
          <w:sz w:val="24"/>
          <w:szCs w:val="24"/>
        </w:rPr>
      </w:pPr>
    </w:p>
    <w:p w:rsidR="004114DF" w:rsidRPr="004114DF" w:rsidRDefault="004114DF" w:rsidP="004114DF">
      <w:pPr>
        <w:autoSpaceDE w:val="0"/>
        <w:autoSpaceDN w:val="0"/>
        <w:adjustRightInd w:val="0"/>
        <w:jc w:val="center"/>
        <w:rPr>
          <w:rFonts w:ascii="Lucida Handwriting" w:hAnsi="Lucida Handwriting"/>
          <w:sz w:val="24"/>
          <w:szCs w:val="24"/>
        </w:rPr>
      </w:pPr>
      <w:r w:rsidRPr="004114DF">
        <w:rPr>
          <w:rFonts w:ascii="Lucida Handwriting" w:hAnsi="Lucida Handwriting" w:cs="Lucida Handwriting"/>
          <w:noProof/>
          <w:color w:val="000000"/>
          <w:sz w:val="24"/>
          <w:szCs w:val="24"/>
        </w:rPr>
        <w:drawing>
          <wp:inline distT="0" distB="0" distL="0" distR="0" wp14:anchorId="68ACFF60" wp14:editId="4FCDE602">
            <wp:extent cx="3067050" cy="2828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67050" cy="2828925"/>
                    </a:xfrm>
                    <a:prstGeom prst="rect">
                      <a:avLst/>
                    </a:prstGeom>
                  </pic:spPr>
                </pic:pic>
              </a:graphicData>
            </a:graphic>
          </wp:inline>
        </w:drawing>
      </w:r>
    </w:p>
    <w:p w:rsidR="004114DF" w:rsidRPr="004114DF" w:rsidRDefault="004114DF" w:rsidP="004114DF">
      <w:pPr>
        <w:autoSpaceDE w:val="0"/>
        <w:autoSpaceDN w:val="0"/>
        <w:adjustRightInd w:val="0"/>
        <w:rPr>
          <w:rFonts w:ascii="Lucida Handwriting" w:hAnsi="Lucida Handwriting"/>
          <w:sz w:val="24"/>
          <w:szCs w:val="24"/>
        </w:rPr>
      </w:pPr>
    </w:p>
    <w:p w:rsidR="004114DF" w:rsidRPr="004114DF" w:rsidRDefault="004114DF" w:rsidP="004114DF">
      <w:pPr>
        <w:autoSpaceDE w:val="0"/>
        <w:autoSpaceDN w:val="0"/>
        <w:adjustRightInd w:val="0"/>
        <w:rPr>
          <w:rFonts w:ascii="Arial" w:hAnsi="Arial" w:cs="Arial"/>
          <w:sz w:val="36"/>
          <w:szCs w:val="36"/>
        </w:rPr>
      </w:pPr>
      <w:r w:rsidRPr="004114DF">
        <w:rPr>
          <w:rFonts w:ascii="Lucida Handwriting" w:hAnsi="Lucida Handwriting"/>
          <w:sz w:val="24"/>
          <w:szCs w:val="24"/>
        </w:rPr>
        <w:t xml:space="preserve"> </w:t>
      </w:r>
    </w:p>
    <w:p w:rsidR="004114DF" w:rsidRPr="004114DF" w:rsidRDefault="004114DF" w:rsidP="004114DF">
      <w:pPr>
        <w:autoSpaceDE w:val="0"/>
        <w:autoSpaceDN w:val="0"/>
        <w:adjustRightInd w:val="0"/>
        <w:rPr>
          <w:rFonts w:ascii="Lucida Handwriting" w:hAnsi="Lucida Handwriting"/>
          <w:sz w:val="24"/>
          <w:szCs w:val="24"/>
        </w:rPr>
      </w:pPr>
    </w:p>
    <w:p w:rsidR="004114DF" w:rsidRPr="004114DF" w:rsidRDefault="004114DF" w:rsidP="004114DF">
      <w:pPr>
        <w:autoSpaceDE w:val="0"/>
        <w:autoSpaceDN w:val="0"/>
        <w:adjustRightInd w:val="0"/>
        <w:jc w:val="center"/>
        <w:rPr>
          <w:rFonts w:ascii="Calibri" w:hAnsi="Calibri" w:cs="Calibri"/>
          <w:b/>
          <w:bCs/>
          <w:sz w:val="48"/>
          <w:szCs w:val="48"/>
        </w:rPr>
      </w:pPr>
      <w:r>
        <w:rPr>
          <w:rFonts w:ascii="Calibri" w:hAnsi="Calibri" w:cs="Calibri"/>
          <w:b/>
          <w:bCs/>
          <w:sz w:val="48"/>
          <w:szCs w:val="48"/>
        </w:rPr>
        <w:t xml:space="preserve">EYFS </w:t>
      </w:r>
      <w:r w:rsidRPr="004114DF">
        <w:rPr>
          <w:rFonts w:ascii="Calibri" w:hAnsi="Calibri" w:cs="Calibri"/>
          <w:b/>
          <w:bCs/>
          <w:sz w:val="48"/>
          <w:szCs w:val="48"/>
        </w:rPr>
        <w:t>COMPUTING POLICY</w:t>
      </w:r>
    </w:p>
    <w:p w:rsidR="004114DF" w:rsidRPr="004114DF" w:rsidRDefault="004114DF" w:rsidP="004114DF">
      <w:pPr>
        <w:autoSpaceDE w:val="0"/>
        <w:autoSpaceDN w:val="0"/>
        <w:adjustRightInd w:val="0"/>
        <w:jc w:val="center"/>
        <w:rPr>
          <w:rFonts w:ascii="Calibri" w:hAnsi="Calibri" w:cs="Calibri"/>
          <w:b/>
          <w:bCs/>
          <w:color w:val="000000"/>
          <w:sz w:val="48"/>
          <w:szCs w:val="48"/>
        </w:rPr>
      </w:pPr>
    </w:p>
    <w:p w:rsidR="004114DF" w:rsidRPr="004114DF" w:rsidRDefault="004114DF" w:rsidP="004114DF">
      <w:pPr>
        <w:autoSpaceDE w:val="0"/>
        <w:autoSpaceDN w:val="0"/>
        <w:adjustRightInd w:val="0"/>
        <w:jc w:val="center"/>
        <w:rPr>
          <w:rFonts w:ascii="Calibri" w:hAnsi="Calibri" w:cs="Calibri"/>
          <w:b/>
          <w:bCs/>
          <w:color w:val="000000"/>
          <w:sz w:val="48"/>
          <w:szCs w:val="48"/>
        </w:rPr>
      </w:pPr>
    </w:p>
    <w:tbl>
      <w:tblPr>
        <w:tblStyle w:val="TableGrid"/>
        <w:tblW w:w="0" w:type="auto"/>
        <w:tblLook w:val="04A0" w:firstRow="1" w:lastRow="0" w:firstColumn="1" w:lastColumn="0" w:noHBand="0" w:noVBand="1"/>
      </w:tblPr>
      <w:tblGrid>
        <w:gridCol w:w="4508"/>
        <w:gridCol w:w="4508"/>
      </w:tblGrid>
      <w:tr w:rsidR="004114DF" w:rsidRPr="004114DF" w:rsidTr="005C3883">
        <w:tc>
          <w:tcPr>
            <w:tcW w:w="4508" w:type="dxa"/>
          </w:tcPr>
          <w:p w:rsidR="004114DF" w:rsidRPr="004114DF" w:rsidRDefault="004114DF" w:rsidP="004114DF">
            <w:pPr>
              <w:autoSpaceDE w:val="0"/>
              <w:autoSpaceDN w:val="0"/>
              <w:adjustRightInd w:val="0"/>
              <w:rPr>
                <w:rFonts w:cstheme="minorHAnsi"/>
                <w:color w:val="000000"/>
              </w:rPr>
            </w:pPr>
            <w:r w:rsidRPr="004114DF">
              <w:rPr>
                <w:rFonts w:cstheme="minorHAnsi"/>
                <w:color w:val="000000"/>
              </w:rPr>
              <w:t>THIS POLICY WAS ACCEPTED BY THE FULL GOVERNING BODY ON</w:t>
            </w:r>
          </w:p>
          <w:p w:rsidR="004114DF" w:rsidRPr="004114DF" w:rsidRDefault="004114DF" w:rsidP="004114DF">
            <w:pPr>
              <w:autoSpaceDE w:val="0"/>
              <w:autoSpaceDN w:val="0"/>
              <w:adjustRightInd w:val="0"/>
              <w:rPr>
                <w:rFonts w:cstheme="minorHAnsi"/>
                <w:color w:val="000000"/>
              </w:rPr>
            </w:pPr>
          </w:p>
        </w:tc>
        <w:tc>
          <w:tcPr>
            <w:tcW w:w="4508" w:type="dxa"/>
          </w:tcPr>
          <w:p w:rsidR="004114DF" w:rsidRPr="004114DF" w:rsidRDefault="004114DF" w:rsidP="004114DF">
            <w:pPr>
              <w:autoSpaceDE w:val="0"/>
              <w:autoSpaceDN w:val="0"/>
              <w:adjustRightInd w:val="0"/>
              <w:jc w:val="center"/>
              <w:rPr>
                <w:rFonts w:ascii="Calibri" w:hAnsi="Calibri" w:cs="Calibri"/>
                <w:b/>
                <w:bCs/>
                <w:color w:val="000000"/>
                <w:sz w:val="48"/>
                <w:szCs w:val="48"/>
              </w:rPr>
            </w:pPr>
          </w:p>
        </w:tc>
      </w:tr>
      <w:tr w:rsidR="004114DF" w:rsidRPr="004114DF" w:rsidTr="005C3883">
        <w:trPr>
          <w:trHeight w:val="704"/>
        </w:trPr>
        <w:tc>
          <w:tcPr>
            <w:tcW w:w="4508" w:type="dxa"/>
          </w:tcPr>
          <w:p w:rsidR="004114DF" w:rsidRPr="004114DF" w:rsidRDefault="004114DF" w:rsidP="004114DF">
            <w:pPr>
              <w:autoSpaceDE w:val="0"/>
              <w:autoSpaceDN w:val="0"/>
              <w:adjustRightInd w:val="0"/>
              <w:rPr>
                <w:rFonts w:cstheme="minorHAnsi"/>
                <w:bCs/>
                <w:color w:val="000000"/>
                <w:sz w:val="24"/>
                <w:szCs w:val="24"/>
              </w:rPr>
            </w:pPr>
            <w:r w:rsidRPr="004114DF">
              <w:rPr>
                <w:rFonts w:cstheme="minorHAnsi"/>
                <w:bCs/>
                <w:color w:val="000000"/>
                <w:sz w:val="24"/>
                <w:szCs w:val="24"/>
              </w:rPr>
              <w:t>SIGNED CHAIR OF GOVERNORS</w:t>
            </w:r>
          </w:p>
        </w:tc>
        <w:tc>
          <w:tcPr>
            <w:tcW w:w="4508" w:type="dxa"/>
          </w:tcPr>
          <w:p w:rsidR="004114DF" w:rsidRPr="004114DF" w:rsidRDefault="004114DF" w:rsidP="004114DF">
            <w:pPr>
              <w:autoSpaceDE w:val="0"/>
              <w:autoSpaceDN w:val="0"/>
              <w:adjustRightInd w:val="0"/>
              <w:jc w:val="center"/>
              <w:rPr>
                <w:rFonts w:ascii="Calibri" w:hAnsi="Calibri" w:cs="Calibri"/>
                <w:b/>
                <w:bCs/>
                <w:color w:val="000000"/>
                <w:sz w:val="48"/>
                <w:szCs w:val="48"/>
              </w:rPr>
            </w:pPr>
          </w:p>
        </w:tc>
      </w:tr>
    </w:tbl>
    <w:p w:rsidR="004114DF" w:rsidRPr="004114DF" w:rsidRDefault="004114DF" w:rsidP="004114DF">
      <w:pPr>
        <w:autoSpaceDE w:val="0"/>
        <w:autoSpaceDN w:val="0"/>
        <w:adjustRightInd w:val="0"/>
        <w:jc w:val="center"/>
        <w:rPr>
          <w:rFonts w:ascii="Calibri" w:hAnsi="Calibri" w:cs="Calibri"/>
          <w:b/>
          <w:bCs/>
          <w:color w:val="000000"/>
          <w:sz w:val="48"/>
          <w:szCs w:val="48"/>
        </w:rPr>
      </w:pPr>
    </w:p>
    <w:p w:rsidR="004114DF" w:rsidRPr="004114DF" w:rsidRDefault="004114DF" w:rsidP="004114DF">
      <w:pPr>
        <w:spacing w:after="160" w:line="259" w:lineRule="auto"/>
      </w:pPr>
    </w:p>
    <w:p w:rsidR="004114DF" w:rsidRPr="004114DF" w:rsidRDefault="004114DF" w:rsidP="004114DF">
      <w:pPr>
        <w:spacing w:after="160" w:line="259" w:lineRule="auto"/>
      </w:pPr>
    </w:p>
    <w:p w:rsidR="004114DF" w:rsidRPr="004114DF" w:rsidRDefault="004114DF" w:rsidP="004114DF">
      <w:pPr>
        <w:spacing w:after="160" w:line="259" w:lineRule="auto"/>
      </w:pPr>
    </w:p>
    <w:p w:rsidR="004114DF" w:rsidRPr="004114DF" w:rsidRDefault="004114DF" w:rsidP="004114DF">
      <w:pPr>
        <w:spacing w:after="160" w:line="259" w:lineRule="auto"/>
        <w:jc w:val="center"/>
        <w:rPr>
          <w:rFonts w:ascii="Arial" w:hAnsi="Arial" w:cs="Arial"/>
          <w:b/>
          <w:bCs/>
          <w:sz w:val="36"/>
          <w:szCs w:val="36"/>
        </w:rPr>
      </w:pPr>
      <w:r w:rsidRPr="004114DF">
        <w:rPr>
          <w:rFonts w:ascii="Arial" w:hAnsi="Arial" w:cs="Arial"/>
          <w:b/>
          <w:bCs/>
          <w:sz w:val="36"/>
          <w:szCs w:val="36"/>
        </w:rPr>
        <w:t>COMPASSION, ASPIRATION, FRIENDSHIP, RESPECT AND RESILIENCE</w:t>
      </w:r>
    </w:p>
    <w:p w:rsidR="004114DF" w:rsidRDefault="004114DF">
      <w:pPr>
        <w:rPr>
          <w:rFonts w:cstheme="minorHAnsi"/>
          <w:b/>
        </w:rPr>
      </w:pPr>
      <w:r>
        <w:rPr>
          <w:rFonts w:cstheme="minorHAnsi"/>
          <w:b/>
        </w:rPr>
        <w:br w:type="page"/>
      </w:r>
    </w:p>
    <w:p w:rsidR="004114DF" w:rsidRDefault="004114DF">
      <w:pPr>
        <w:rPr>
          <w:rFonts w:cstheme="minorHAnsi"/>
          <w:b/>
        </w:rPr>
      </w:pPr>
    </w:p>
    <w:p w:rsidR="004114DF" w:rsidRPr="004114DF" w:rsidRDefault="004114DF" w:rsidP="004114DF">
      <w:pPr>
        <w:spacing w:after="3"/>
        <w:ind w:left="598" w:right="203" w:hanging="10"/>
        <w:jc w:val="both"/>
        <w:rPr>
          <w:rFonts w:eastAsia="Calibri" w:cstheme="minorHAnsi"/>
          <w:i/>
          <w:color w:val="7030A0"/>
          <w:sz w:val="24"/>
          <w:lang w:eastAsia="en-GB"/>
        </w:rPr>
      </w:pPr>
      <w:r w:rsidRPr="004114DF">
        <w:rPr>
          <w:rFonts w:eastAsia="Calibri" w:cstheme="minorHAnsi"/>
          <w:i/>
          <w:color w:val="7030A0"/>
          <w:sz w:val="24"/>
          <w:lang w:eastAsia="en-GB"/>
        </w:rPr>
        <w:t>As a safe haven of hope and aspiration, our richly unique and diverse children are nurtured with kindness and compassion, learning to value themselves and others...</w:t>
      </w:r>
    </w:p>
    <w:p w:rsidR="004114DF" w:rsidRDefault="004114DF">
      <w:pPr>
        <w:rPr>
          <w:rFonts w:cstheme="minorHAnsi"/>
          <w:b/>
        </w:rPr>
      </w:pPr>
    </w:p>
    <w:p w:rsidR="00031630" w:rsidRPr="004114DF" w:rsidRDefault="004114DF">
      <w:pPr>
        <w:rPr>
          <w:rFonts w:cstheme="minorHAnsi"/>
          <w:b/>
        </w:rPr>
      </w:pPr>
      <w:r>
        <w:rPr>
          <w:rFonts w:cstheme="minorHAnsi"/>
          <w:b/>
        </w:rPr>
        <w:t>Introduction</w:t>
      </w:r>
      <w:bookmarkStart w:id="0" w:name="_GoBack"/>
      <w:bookmarkEnd w:id="0"/>
      <w:r>
        <w:rPr>
          <w:rFonts w:cstheme="minorHAnsi"/>
          <w:b/>
        </w:rPr>
        <w:t xml:space="preserve"> to </w:t>
      </w:r>
      <w:r w:rsidR="00981B6F" w:rsidRPr="004114DF">
        <w:rPr>
          <w:rFonts w:cstheme="minorHAnsi"/>
          <w:b/>
        </w:rPr>
        <w:t>Computing in EYFS</w:t>
      </w:r>
      <w:r w:rsidRPr="004114DF">
        <w:rPr>
          <w:rFonts w:cstheme="minorHAnsi"/>
          <w:b/>
        </w:rPr>
        <w:t xml:space="preserve"> </w:t>
      </w:r>
    </w:p>
    <w:p w:rsidR="004114DF" w:rsidRPr="004114DF" w:rsidRDefault="004114DF">
      <w:pPr>
        <w:rPr>
          <w:rFonts w:cstheme="minorHAnsi"/>
          <w:b/>
        </w:rPr>
      </w:pPr>
    </w:p>
    <w:p w:rsidR="00981B6F" w:rsidRPr="004114DF" w:rsidRDefault="00981B6F" w:rsidP="004114DF">
      <w:pPr>
        <w:spacing w:line="276" w:lineRule="auto"/>
        <w:rPr>
          <w:rFonts w:cstheme="minorHAnsi"/>
        </w:rPr>
      </w:pPr>
      <w:r w:rsidRPr="004114DF">
        <w:rPr>
          <w:rFonts w:cstheme="minorHAnsi"/>
        </w:rPr>
        <w:t>Despite computing not being explicitly mentioned within the </w:t>
      </w:r>
      <w:hyperlink r:id="rId8" w:tooltip="Early Years Foundation Stage (EYFS) statutory framework" w:history="1">
        <w:r w:rsidRPr="004114DF">
          <w:rPr>
            <w:rStyle w:val="Hyperlink"/>
            <w:rFonts w:cstheme="minorHAnsi"/>
            <w:color w:val="auto"/>
          </w:rPr>
          <w:t>Early Years Foundation Stage (EYFS) statutory framework</w:t>
        </w:r>
      </w:hyperlink>
      <w:r w:rsidRPr="004114DF">
        <w:rPr>
          <w:rFonts w:cstheme="minorHAnsi"/>
        </w:rPr>
        <w:t>, which focuses on the learning and development of children from birth to age five, there are many opportunities for young children to use technology to solve problems and produce creative outcomes. In particular, many areas of the framework provide opportunities for pupils to develop their ability to use computational thinking effectively.</w:t>
      </w:r>
    </w:p>
    <w:p w:rsidR="00981B6F" w:rsidRPr="004114DF" w:rsidRDefault="00981B6F" w:rsidP="004114DF">
      <w:pPr>
        <w:spacing w:line="276" w:lineRule="auto"/>
        <w:rPr>
          <w:rFonts w:cstheme="minorHAnsi"/>
        </w:rPr>
      </w:pPr>
      <w:r w:rsidRPr="004114DF">
        <w:rPr>
          <w:rFonts w:cstheme="minorHAnsi"/>
        </w:rPr>
        <w:t>As young children take part in a variety of tasks with digital devices, such as moving a </w:t>
      </w:r>
      <w:hyperlink r:id="rId9" w:tooltip="Bee Bot" w:history="1">
        <w:r w:rsidRPr="004114DF">
          <w:rPr>
            <w:rStyle w:val="Hyperlink"/>
            <w:rFonts w:cstheme="minorHAnsi"/>
            <w:color w:val="auto"/>
          </w:rPr>
          <w:t>Bee Bot</w:t>
        </w:r>
      </w:hyperlink>
      <w:r w:rsidRPr="004114DF">
        <w:rPr>
          <w:rFonts w:cstheme="minorHAnsi"/>
        </w:rPr>
        <w:t> around a classroom, they will already be familiar with the device before being asked to undertake tasks related to the key stage one (KS1 - ages 5 - 7 years) </w:t>
      </w:r>
      <w:hyperlink r:id="rId10" w:tooltip="computing curriculum" w:history="1">
        <w:r w:rsidRPr="004114DF">
          <w:rPr>
            <w:rStyle w:val="Hyperlink"/>
            <w:rFonts w:cstheme="minorHAnsi"/>
            <w:color w:val="auto"/>
          </w:rPr>
          <w:t>computing curriculum</w:t>
        </w:r>
      </w:hyperlink>
      <w:r w:rsidRPr="004114DF">
        <w:rPr>
          <w:rFonts w:cstheme="minorHAnsi"/>
        </w:rPr>
        <w:t>, such as writing and testing a simple program. Not only will children be keen to again use a device they had previously enjoyed using, their </w:t>
      </w:r>
      <w:hyperlink r:id="rId11" w:tooltip="cognitive load will also be reduced" w:history="1">
        <w:r w:rsidRPr="004114DF">
          <w:rPr>
            <w:rStyle w:val="Hyperlink"/>
            <w:rFonts w:cstheme="minorHAnsi"/>
            <w:color w:val="auto"/>
          </w:rPr>
          <w:t>cognitive load will also be reduced</w:t>
        </w:r>
      </w:hyperlink>
      <w:r w:rsidRPr="004114DF">
        <w:rPr>
          <w:rFonts w:cstheme="minorHAnsi"/>
        </w:rPr>
        <w:t>, meaning they are more likely to succeed when undertaking activities linked to the next stage in their learning.</w:t>
      </w:r>
    </w:p>
    <w:p w:rsidR="00981B6F" w:rsidRPr="004114DF" w:rsidRDefault="00981B6F" w:rsidP="00981B6F">
      <w:pPr>
        <w:shd w:val="clear" w:color="auto" w:fill="FFFFFF"/>
        <w:spacing w:before="100" w:beforeAutospacing="1" w:after="100" w:afterAutospacing="1"/>
        <w:outlineLvl w:val="3"/>
        <w:rPr>
          <w:rFonts w:eastAsia="Times New Roman" w:cstheme="minorHAnsi"/>
          <w:b/>
          <w:bCs/>
          <w:lang w:eastAsia="en-GB"/>
        </w:rPr>
      </w:pPr>
      <w:r w:rsidRPr="004114DF">
        <w:rPr>
          <w:rFonts w:eastAsia="Times New Roman" w:cstheme="minorHAnsi"/>
          <w:b/>
          <w:bCs/>
          <w:lang w:eastAsia="en-GB"/>
        </w:rPr>
        <w:t>Understanding the world</w:t>
      </w:r>
    </w:p>
    <w:p w:rsidR="00981B6F" w:rsidRPr="004114DF" w:rsidRDefault="00981B6F" w:rsidP="00981B6F">
      <w:pPr>
        <w:shd w:val="clear" w:color="auto" w:fill="FFFFFF"/>
        <w:spacing w:line="360" w:lineRule="atLeast"/>
        <w:rPr>
          <w:rFonts w:eastAsia="Times New Roman" w:cstheme="minorHAnsi"/>
          <w:lang w:eastAsia="en-GB"/>
        </w:rPr>
      </w:pPr>
      <w:r w:rsidRPr="004114DF">
        <w:rPr>
          <w:rFonts w:eastAsia="Times New Roman" w:cstheme="minorHAnsi"/>
          <w:lang w:eastAsia="en-GB"/>
        </w:rPr>
        <w:t>Classrooms could contain a role play area with a range of technology, both functioning and model / broken devices, or a variety of electronic toys, such as remote</w:t>
      </w:r>
      <w:r w:rsidR="00031630" w:rsidRPr="004114DF">
        <w:rPr>
          <w:rFonts w:eastAsia="Times New Roman" w:cstheme="minorHAnsi"/>
          <w:lang w:eastAsia="en-GB"/>
        </w:rPr>
        <w:t>-</w:t>
      </w:r>
      <w:r w:rsidRPr="004114DF">
        <w:rPr>
          <w:rFonts w:eastAsia="Times New Roman" w:cstheme="minorHAnsi"/>
          <w:lang w:eastAsia="en-GB"/>
        </w:rPr>
        <w:t xml:space="preserve">controlled cars, walkie-talkies and interactive pets, as part of continuous provision. Further technology could be included in conjunction with other activities, such as digital cameras for pupils to photograph their own learning, although children should ideally be given the opportunity to select and use technology for a certain purpose, rather than simply being given a device. </w:t>
      </w:r>
      <w:r w:rsidR="00031630" w:rsidRPr="004114DF">
        <w:rPr>
          <w:rFonts w:eastAsia="Times New Roman" w:cstheme="minorHAnsi"/>
          <w:lang w:eastAsia="en-GB"/>
        </w:rPr>
        <w:t xml:space="preserve">It must be considered that children at this age </w:t>
      </w:r>
      <w:r w:rsidRPr="004114DF">
        <w:rPr>
          <w:rFonts w:eastAsia="Times New Roman" w:cstheme="minorHAnsi"/>
          <w:lang w:eastAsia="en-GB"/>
        </w:rPr>
        <w:t>need to tinker, or play, with a device, in order to discover how it functions.</w:t>
      </w:r>
    </w:p>
    <w:p w:rsidR="00981B6F" w:rsidRPr="004114DF" w:rsidRDefault="00981B6F" w:rsidP="00981B6F">
      <w:pPr>
        <w:shd w:val="clear" w:color="auto" w:fill="FFFFFF"/>
        <w:spacing w:line="360" w:lineRule="atLeast"/>
        <w:rPr>
          <w:rFonts w:eastAsia="Times New Roman" w:cstheme="minorHAnsi"/>
          <w:lang w:eastAsia="en-GB"/>
        </w:rPr>
      </w:pPr>
    </w:p>
    <w:p w:rsidR="00981B6F" w:rsidRPr="004114DF" w:rsidRDefault="00981B6F" w:rsidP="00981B6F">
      <w:pPr>
        <w:shd w:val="clear" w:color="auto" w:fill="FFFFFF"/>
        <w:spacing w:before="100" w:beforeAutospacing="1" w:after="100" w:afterAutospacing="1"/>
        <w:outlineLvl w:val="3"/>
        <w:rPr>
          <w:rFonts w:eastAsia="Times New Roman" w:cstheme="minorHAnsi"/>
          <w:b/>
          <w:bCs/>
          <w:lang w:eastAsia="en-GB"/>
        </w:rPr>
      </w:pPr>
      <w:r w:rsidRPr="004114DF">
        <w:rPr>
          <w:rFonts w:eastAsia="Times New Roman" w:cstheme="minorHAnsi"/>
          <w:b/>
          <w:bCs/>
          <w:lang w:eastAsia="en-GB"/>
        </w:rPr>
        <w:t>Literacy</w:t>
      </w:r>
    </w:p>
    <w:p w:rsidR="00981B6F" w:rsidRPr="004114DF" w:rsidRDefault="00981B6F" w:rsidP="00981B6F">
      <w:pPr>
        <w:shd w:val="clear" w:color="auto" w:fill="FFFFFF"/>
        <w:spacing w:before="100" w:beforeAutospacing="1" w:afterAutospacing="1" w:line="360" w:lineRule="atLeast"/>
        <w:rPr>
          <w:rFonts w:eastAsia="Times New Roman" w:cstheme="minorHAnsi"/>
          <w:lang w:eastAsia="en-GB"/>
        </w:rPr>
      </w:pPr>
      <w:r w:rsidRPr="004114DF">
        <w:rPr>
          <w:rFonts w:eastAsia="Times New Roman" w:cstheme="minorHAnsi"/>
          <w:lang w:eastAsia="en-GB"/>
        </w:rPr>
        <w:t xml:space="preserve">Bee Bots continue to be extremely popular in both EYFS and Key Stage 1, and provide a number of opportunities to develop pupils’ computing knowledge within literacy sessions. Children could create a story about the Bee Bot’s journey, such as around a local area or a country being studied, or they could sequence events within a story being studied. For example, children could guide the Bee Bot between different locations, characters and locations within Little Red Riding Hood. </w:t>
      </w:r>
    </w:p>
    <w:p w:rsidR="00981B6F" w:rsidRPr="004114DF" w:rsidRDefault="00981B6F" w:rsidP="00981B6F">
      <w:pPr>
        <w:shd w:val="clear" w:color="auto" w:fill="FFFFFF"/>
        <w:spacing w:before="100" w:beforeAutospacing="1" w:after="100" w:afterAutospacing="1"/>
        <w:outlineLvl w:val="3"/>
        <w:rPr>
          <w:rFonts w:eastAsia="Times New Roman" w:cstheme="minorHAnsi"/>
          <w:b/>
          <w:bCs/>
          <w:lang w:eastAsia="en-GB"/>
        </w:rPr>
      </w:pPr>
      <w:r w:rsidRPr="004114DF">
        <w:rPr>
          <w:rFonts w:eastAsia="Times New Roman" w:cstheme="minorHAnsi"/>
          <w:b/>
          <w:bCs/>
          <w:lang w:eastAsia="en-GB"/>
        </w:rPr>
        <w:t>Physical development</w:t>
      </w:r>
    </w:p>
    <w:p w:rsidR="00981B6F" w:rsidRPr="004114DF" w:rsidRDefault="00981B6F" w:rsidP="00981B6F">
      <w:pPr>
        <w:shd w:val="clear" w:color="auto" w:fill="FFFFFF"/>
        <w:spacing w:line="360" w:lineRule="atLeast"/>
        <w:rPr>
          <w:rFonts w:eastAsia="Times New Roman" w:cstheme="minorHAnsi"/>
          <w:lang w:eastAsia="en-GB"/>
        </w:rPr>
      </w:pPr>
      <w:r w:rsidRPr="004114DF">
        <w:rPr>
          <w:rFonts w:eastAsia="Times New Roman" w:cstheme="minorHAnsi"/>
          <w:lang w:eastAsia="en-GB"/>
        </w:rPr>
        <w:t>Many children entering Early Years settings are already familiar with tablet devices, although their ability to use a keyboard and mouse is often limited. This has recently become a more significant issue, due to the </w:t>
      </w:r>
      <w:hyperlink r:id="rId12" w:tooltip="prevalence of tablet devices in the home" w:history="1">
        <w:r w:rsidRPr="004114DF">
          <w:rPr>
            <w:rFonts w:eastAsia="Times New Roman" w:cstheme="minorHAnsi"/>
            <w:u w:val="single"/>
            <w:lang w:eastAsia="en-GB"/>
          </w:rPr>
          <w:t>prevalence of tablet devices in the home</w:t>
        </w:r>
      </w:hyperlink>
      <w:r w:rsidRPr="004114DF">
        <w:rPr>
          <w:rFonts w:eastAsia="Times New Roman" w:cstheme="minorHAnsi"/>
          <w:lang w:eastAsia="en-GB"/>
        </w:rPr>
        <w:t>. It is therefore important that children are given opportunities to become familiar with a range of input devices, including the keyboard and mouse, in order to develop the required fine motor skills. Usage could be linked to phonics sessions, such as through the use of drill and practice games, including </w:t>
      </w:r>
      <w:hyperlink r:id="rId13" w:tooltip="Dance Mat Typing" w:history="1">
        <w:r w:rsidRPr="004114DF">
          <w:rPr>
            <w:rFonts w:eastAsia="Times New Roman" w:cstheme="minorHAnsi"/>
            <w:u w:val="single"/>
            <w:lang w:eastAsia="en-GB"/>
          </w:rPr>
          <w:t>Dance Mat Typing</w:t>
        </w:r>
      </w:hyperlink>
      <w:r w:rsidRPr="004114DF">
        <w:rPr>
          <w:rFonts w:eastAsia="Times New Roman" w:cstheme="minorHAnsi"/>
          <w:lang w:eastAsia="en-GB"/>
        </w:rPr>
        <w:t> or the </w:t>
      </w:r>
      <w:hyperlink r:id="rId14" w:tooltip="Animal Typing app" w:history="1">
        <w:r w:rsidRPr="004114DF">
          <w:rPr>
            <w:rFonts w:eastAsia="Times New Roman" w:cstheme="minorHAnsi"/>
            <w:u w:val="single"/>
            <w:lang w:eastAsia="en-GB"/>
          </w:rPr>
          <w:t>Animal Typing app</w:t>
        </w:r>
      </w:hyperlink>
      <w:r w:rsidRPr="004114DF">
        <w:rPr>
          <w:rFonts w:eastAsia="Times New Roman" w:cstheme="minorHAnsi"/>
          <w:lang w:eastAsia="en-GB"/>
        </w:rPr>
        <w:t>, or more creative outcomes.</w:t>
      </w:r>
    </w:p>
    <w:p w:rsidR="00981B6F" w:rsidRPr="004114DF" w:rsidRDefault="00981B6F" w:rsidP="00981B6F">
      <w:pPr>
        <w:shd w:val="clear" w:color="auto" w:fill="FFFFFF"/>
        <w:spacing w:line="360" w:lineRule="atLeast"/>
        <w:rPr>
          <w:rFonts w:eastAsia="Times New Roman" w:cstheme="minorHAnsi"/>
          <w:lang w:eastAsia="en-GB"/>
        </w:rPr>
      </w:pPr>
    </w:p>
    <w:p w:rsidR="00981B6F" w:rsidRPr="004114DF" w:rsidRDefault="00981B6F" w:rsidP="00981B6F">
      <w:pPr>
        <w:shd w:val="clear" w:color="auto" w:fill="FFFFFF"/>
        <w:spacing w:before="100" w:beforeAutospacing="1" w:after="100" w:afterAutospacing="1"/>
        <w:outlineLvl w:val="3"/>
        <w:rPr>
          <w:rFonts w:eastAsia="Times New Roman" w:cstheme="minorHAnsi"/>
          <w:b/>
          <w:bCs/>
          <w:lang w:eastAsia="en-GB"/>
        </w:rPr>
      </w:pPr>
      <w:r w:rsidRPr="004114DF">
        <w:rPr>
          <w:rFonts w:eastAsia="Times New Roman" w:cstheme="minorHAnsi"/>
          <w:b/>
          <w:bCs/>
          <w:lang w:eastAsia="en-GB"/>
        </w:rPr>
        <w:lastRenderedPageBreak/>
        <w:t>Communication and language</w:t>
      </w:r>
    </w:p>
    <w:p w:rsidR="00981B6F" w:rsidRPr="004114DF" w:rsidRDefault="00981B6F" w:rsidP="00981B6F">
      <w:pPr>
        <w:shd w:val="clear" w:color="auto" w:fill="FFFFFF"/>
        <w:spacing w:line="360" w:lineRule="atLeast"/>
        <w:rPr>
          <w:rFonts w:eastAsia="Times New Roman" w:cstheme="minorHAnsi"/>
          <w:lang w:eastAsia="en-GB"/>
        </w:rPr>
      </w:pPr>
      <w:r w:rsidRPr="004114DF">
        <w:rPr>
          <w:rFonts w:eastAsia="Times New Roman" w:cstheme="minorHAnsi"/>
          <w:lang w:eastAsia="en-GB"/>
        </w:rPr>
        <w:t>Unplugged activities, or those away from the machine, give children an opportunity to develop their understanding of technology without the need for expensive devices. Children could be asked to give precise instructions verbally, such as through giving instructions to a </w:t>
      </w:r>
      <w:hyperlink r:id="rId15" w:tooltip="sandwich making robot" w:history="1">
        <w:r w:rsidRPr="004114DF">
          <w:rPr>
            <w:rFonts w:eastAsia="Times New Roman" w:cstheme="minorHAnsi"/>
            <w:u w:val="single"/>
            <w:lang w:eastAsia="en-GB"/>
          </w:rPr>
          <w:t>sandwich making robot</w:t>
        </w:r>
      </w:hyperlink>
      <w:r w:rsidRPr="004114DF">
        <w:rPr>
          <w:rFonts w:eastAsia="Times New Roman" w:cstheme="minorHAnsi"/>
          <w:lang w:eastAsia="en-GB"/>
        </w:rPr>
        <w:t>, with links made to the importance of using the correct vocabulary, along with speaking clearly and precisely. Giving instructions could also form part of sessions linked to physical development activities, such as determining rules for certain playground games.</w:t>
      </w:r>
    </w:p>
    <w:p w:rsidR="00981B6F" w:rsidRPr="004114DF" w:rsidRDefault="00981B6F" w:rsidP="00981B6F">
      <w:pPr>
        <w:shd w:val="clear" w:color="auto" w:fill="FFFFFF"/>
        <w:spacing w:line="360" w:lineRule="atLeast"/>
        <w:rPr>
          <w:rFonts w:eastAsia="Times New Roman" w:cstheme="minorHAnsi"/>
          <w:lang w:eastAsia="en-GB"/>
        </w:rPr>
      </w:pPr>
    </w:p>
    <w:p w:rsidR="00981B6F" w:rsidRPr="004114DF" w:rsidRDefault="00981B6F" w:rsidP="00981B6F">
      <w:pPr>
        <w:shd w:val="clear" w:color="auto" w:fill="FFFFFF"/>
        <w:spacing w:before="100" w:beforeAutospacing="1" w:after="100" w:afterAutospacing="1"/>
        <w:outlineLvl w:val="3"/>
        <w:rPr>
          <w:rFonts w:eastAsia="Times New Roman" w:cstheme="minorHAnsi"/>
          <w:b/>
          <w:bCs/>
          <w:lang w:eastAsia="en-GB"/>
        </w:rPr>
      </w:pPr>
      <w:r w:rsidRPr="004114DF">
        <w:rPr>
          <w:rFonts w:eastAsia="Times New Roman" w:cstheme="minorHAnsi"/>
          <w:b/>
          <w:bCs/>
          <w:lang w:eastAsia="en-GB"/>
        </w:rPr>
        <w:t>Personal, social and emotional development</w:t>
      </w:r>
    </w:p>
    <w:p w:rsidR="00981B6F" w:rsidRPr="004114DF" w:rsidRDefault="00981B6F" w:rsidP="00981B6F">
      <w:pPr>
        <w:shd w:val="clear" w:color="auto" w:fill="FFFFFF"/>
        <w:spacing w:line="360" w:lineRule="atLeast"/>
        <w:rPr>
          <w:rFonts w:eastAsia="Times New Roman" w:cstheme="minorHAnsi"/>
          <w:lang w:eastAsia="en-GB"/>
        </w:rPr>
      </w:pPr>
      <w:r w:rsidRPr="004114DF">
        <w:rPr>
          <w:rFonts w:eastAsia="Times New Roman" w:cstheme="minorHAnsi"/>
          <w:lang w:eastAsia="en-GB"/>
        </w:rPr>
        <w:t>Voice recorders, or the microphone built into a tablet device, could be used to record how pupils are feeling, or to discuss their relationships with others. This could be extended through pupils creating their own videos, which could also link to children giving online safety guidance to their peers on appropriate use of technology and what to do if they feel worried or concerned when using a device. A range of age-appropriate books are now available for young children to examine online safety, such as </w:t>
      </w:r>
      <w:hyperlink r:id="rId16" w:tooltip="Chicken Clicking" w:history="1">
        <w:r w:rsidRPr="004114DF">
          <w:rPr>
            <w:rFonts w:eastAsia="Times New Roman" w:cstheme="minorHAnsi"/>
            <w:u w:val="single"/>
            <w:lang w:eastAsia="en-GB"/>
          </w:rPr>
          <w:t>Chicken Clicking</w:t>
        </w:r>
      </w:hyperlink>
      <w:r w:rsidRPr="004114DF">
        <w:rPr>
          <w:rFonts w:eastAsia="Times New Roman" w:cstheme="minorHAnsi"/>
          <w:lang w:eastAsia="en-GB"/>
        </w:rPr>
        <w:t>, </w:t>
      </w:r>
      <w:hyperlink r:id="rId17" w:tooltip="Goldilocks (A hashtag cautionary tale)" w:history="1">
        <w:r w:rsidRPr="004114DF">
          <w:rPr>
            <w:rFonts w:eastAsia="Times New Roman" w:cstheme="minorHAnsi"/>
            <w:u w:val="single"/>
            <w:lang w:eastAsia="en-GB"/>
          </w:rPr>
          <w:t>Goldilocks (A hashtag cautionary tale)</w:t>
        </w:r>
      </w:hyperlink>
      <w:r w:rsidRPr="004114DF">
        <w:rPr>
          <w:rFonts w:eastAsia="Times New Roman" w:cstheme="minorHAnsi"/>
          <w:lang w:eastAsia="en-GB"/>
        </w:rPr>
        <w:t> and the free </w:t>
      </w:r>
      <w:proofErr w:type="spellStart"/>
      <w:r w:rsidRPr="004114DF">
        <w:rPr>
          <w:rFonts w:eastAsia="Times New Roman" w:cstheme="minorHAnsi"/>
          <w:lang w:eastAsia="en-GB"/>
        </w:rPr>
        <w:fldChar w:fldCharType="begin"/>
      </w:r>
      <w:r w:rsidRPr="004114DF">
        <w:rPr>
          <w:rFonts w:eastAsia="Times New Roman" w:cstheme="minorHAnsi"/>
          <w:lang w:eastAsia="en-GB"/>
        </w:rPr>
        <w:instrText xml:space="preserve"> HYPERLINK "https://www.childnet.com/resources/smartie-the-penguin" \o "Smartie the Penguin" </w:instrText>
      </w:r>
      <w:r w:rsidRPr="004114DF">
        <w:rPr>
          <w:rFonts w:eastAsia="Times New Roman" w:cstheme="minorHAnsi"/>
          <w:lang w:eastAsia="en-GB"/>
        </w:rPr>
        <w:fldChar w:fldCharType="separate"/>
      </w:r>
      <w:r w:rsidRPr="004114DF">
        <w:rPr>
          <w:rFonts w:eastAsia="Times New Roman" w:cstheme="minorHAnsi"/>
          <w:u w:val="single"/>
          <w:lang w:eastAsia="en-GB"/>
        </w:rPr>
        <w:t>Smartie</w:t>
      </w:r>
      <w:proofErr w:type="spellEnd"/>
      <w:r w:rsidRPr="004114DF">
        <w:rPr>
          <w:rFonts w:eastAsia="Times New Roman" w:cstheme="minorHAnsi"/>
          <w:u w:val="single"/>
          <w:lang w:eastAsia="en-GB"/>
        </w:rPr>
        <w:t xml:space="preserve"> the Penguin</w:t>
      </w:r>
      <w:r w:rsidRPr="004114DF">
        <w:rPr>
          <w:rFonts w:eastAsia="Times New Roman" w:cstheme="minorHAnsi"/>
          <w:lang w:eastAsia="en-GB"/>
        </w:rPr>
        <w:fldChar w:fldCharType="end"/>
      </w:r>
      <w:r w:rsidRPr="004114DF">
        <w:rPr>
          <w:rFonts w:eastAsia="Times New Roman" w:cstheme="minorHAnsi"/>
          <w:lang w:eastAsia="en-GB"/>
        </w:rPr>
        <w:t xml:space="preserve">. Using voice and video recorders also allows children to </w:t>
      </w:r>
      <w:proofErr w:type="spellStart"/>
      <w:r w:rsidRPr="004114DF">
        <w:rPr>
          <w:rFonts w:eastAsia="Times New Roman" w:cstheme="minorHAnsi"/>
          <w:lang w:eastAsia="en-GB"/>
        </w:rPr>
        <w:t>self evaluate</w:t>
      </w:r>
      <w:proofErr w:type="spellEnd"/>
      <w:r w:rsidRPr="004114DF">
        <w:rPr>
          <w:rFonts w:eastAsia="Times New Roman" w:cstheme="minorHAnsi"/>
          <w:lang w:eastAsia="en-GB"/>
        </w:rPr>
        <w:t xml:space="preserve"> their own speaking.</w:t>
      </w:r>
    </w:p>
    <w:p w:rsidR="00981B6F" w:rsidRPr="004114DF" w:rsidRDefault="00981B6F" w:rsidP="00981B6F">
      <w:pPr>
        <w:shd w:val="clear" w:color="auto" w:fill="FFFFFF"/>
        <w:spacing w:line="360" w:lineRule="atLeast"/>
        <w:rPr>
          <w:rFonts w:eastAsia="Times New Roman" w:cstheme="minorHAnsi"/>
          <w:lang w:eastAsia="en-GB"/>
        </w:rPr>
      </w:pPr>
    </w:p>
    <w:p w:rsidR="00981B6F" w:rsidRPr="004114DF" w:rsidRDefault="00981B6F" w:rsidP="00981B6F">
      <w:pPr>
        <w:shd w:val="clear" w:color="auto" w:fill="FFFFFF"/>
        <w:spacing w:before="100" w:beforeAutospacing="1" w:after="100" w:afterAutospacing="1"/>
        <w:outlineLvl w:val="3"/>
        <w:rPr>
          <w:rFonts w:eastAsia="Times New Roman" w:cstheme="minorHAnsi"/>
          <w:b/>
          <w:bCs/>
          <w:lang w:eastAsia="en-GB"/>
        </w:rPr>
      </w:pPr>
      <w:r w:rsidRPr="004114DF">
        <w:rPr>
          <w:rFonts w:eastAsia="Times New Roman" w:cstheme="minorHAnsi"/>
          <w:b/>
          <w:bCs/>
          <w:lang w:eastAsia="en-GB"/>
        </w:rPr>
        <w:t>Expressive arts and design</w:t>
      </w:r>
    </w:p>
    <w:p w:rsidR="00981B6F" w:rsidRDefault="00981B6F" w:rsidP="00981B6F">
      <w:pPr>
        <w:shd w:val="clear" w:color="auto" w:fill="FFFFFF"/>
        <w:spacing w:before="100" w:beforeAutospacing="1" w:afterAutospacing="1" w:line="360" w:lineRule="atLeast"/>
        <w:rPr>
          <w:rFonts w:eastAsia="Times New Roman" w:cstheme="minorHAnsi"/>
          <w:lang w:eastAsia="en-GB"/>
        </w:rPr>
      </w:pPr>
      <w:r w:rsidRPr="004114DF">
        <w:rPr>
          <w:rFonts w:eastAsia="Times New Roman" w:cstheme="minorHAnsi"/>
          <w:lang w:eastAsia="en-GB"/>
        </w:rPr>
        <w:t>The use of painting and graphics applications can further develop pupils’ keyboard and mouse skills, whilst a range of tablet based apps are also available, such as the free </w:t>
      </w:r>
      <w:hyperlink r:id="rId18" w:tooltip="Doodle Buddy" w:history="1">
        <w:r w:rsidRPr="004114DF">
          <w:rPr>
            <w:rFonts w:eastAsia="Times New Roman" w:cstheme="minorHAnsi"/>
            <w:u w:val="single"/>
            <w:lang w:eastAsia="en-GB"/>
          </w:rPr>
          <w:t>Doodle Buddy</w:t>
        </w:r>
      </w:hyperlink>
      <w:r w:rsidRPr="004114DF">
        <w:rPr>
          <w:rFonts w:eastAsia="Times New Roman" w:cstheme="minorHAnsi"/>
          <w:lang w:eastAsia="en-GB"/>
        </w:rPr>
        <w:t>. Creative outcomes can be produced, which allows pupils to take </w:t>
      </w:r>
      <w:hyperlink r:id="rId19" w:tooltip="ownership of their work" w:history="1">
        <w:r w:rsidRPr="004114DF">
          <w:rPr>
            <w:rFonts w:eastAsia="Times New Roman" w:cstheme="minorHAnsi"/>
            <w:u w:val="single"/>
            <w:lang w:eastAsia="en-GB"/>
          </w:rPr>
          <w:t>ownership of their work</w:t>
        </w:r>
      </w:hyperlink>
      <w:r w:rsidRPr="004114DF">
        <w:rPr>
          <w:rFonts w:eastAsia="Times New Roman" w:cstheme="minorHAnsi"/>
          <w:lang w:eastAsia="en-GB"/>
        </w:rPr>
        <w:t xml:space="preserve"> and could even be part of an extended project. Outputs produced could be linked to other uses of technology, such as producing mats for Bee Beets to travel around. </w:t>
      </w:r>
    </w:p>
    <w:p w:rsidR="004114DF" w:rsidRPr="004114DF" w:rsidRDefault="004114DF" w:rsidP="00981B6F">
      <w:pPr>
        <w:shd w:val="clear" w:color="auto" w:fill="FFFFFF"/>
        <w:spacing w:before="100" w:beforeAutospacing="1" w:afterAutospacing="1" w:line="360" w:lineRule="atLeast"/>
        <w:rPr>
          <w:rFonts w:eastAsia="Times New Roman" w:cstheme="minorHAnsi"/>
          <w:lang w:eastAsia="en-GB"/>
        </w:rPr>
      </w:pPr>
    </w:p>
    <w:p w:rsidR="00981B6F" w:rsidRPr="004114DF" w:rsidRDefault="00981B6F" w:rsidP="00981B6F">
      <w:pPr>
        <w:shd w:val="clear" w:color="auto" w:fill="FFFFFF"/>
        <w:spacing w:before="100" w:beforeAutospacing="1" w:after="100" w:afterAutospacing="1"/>
        <w:outlineLvl w:val="3"/>
        <w:rPr>
          <w:rFonts w:eastAsia="Times New Roman" w:cstheme="minorHAnsi"/>
          <w:b/>
          <w:bCs/>
          <w:lang w:eastAsia="en-GB"/>
        </w:rPr>
      </w:pPr>
      <w:r w:rsidRPr="004114DF">
        <w:rPr>
          <w:rFonts w:eastAsia="Times New Roman" w:cstheme="minorHAnsi"/>
          <w:b/>
          <w:bCs/>
          <w:lang w:eastAsia="en-GB"/>
        </w:rPr>
        <w:t>Mathematics</w:t>
      </w:r>
    </w:p>
    <w:p w:rsidR="00981B6F" w:rsidRPr="004114DF" w:rsidRDefault="00981B6F" w:rsidP="00981B6F">
      <w:pPr>
        <w:shd w:val="clear" w:color="auto" w:fill="FFFFFF"/>
        <w:spacing w:line="360" w:lineRule="atLeast"/>
        <w:rPr>
          <w:rFonts w:eastAsia="Times New Roman" w:cstheme="minorHAnsi"/>
          <w:lang w:eastAsia="en-GB"/>
        </w:rPr>
      </w:pPr>
      <w:r w:rsidRPr="004114DF">
        <w:rPr>
          <w:rFonts w:eastAsia="Times New Roman" w:cstheme="minorHAnsi"/>
          <w:lang w:eastAsia="en-GB"/>
        </w:rPr>
        <w:t>Controlling devices provides an excellent opportunity to develop pupils’ understanding of left and right, along with directional language. Pupils could be asked to guide a device around a shape, or even use activities from computing related websites, such as code.org, to develop their understanding further. However, whilst such activities can effectively engage pupils in programming tasks, their usage should be carefully considered to ensure they have a purpose.</w:t>
      </w:r>
    </w:p>
    <w:p w:rsidR="008D5D5C" w:rsidRPr="004114DF" w:rsidRDefault="008D5D5C" w:rsidP="00981B6F">
      <w:pPr>
        <w:shd w:val="clear" w:color="auto" w:fill="FFFFFF"/>
        <w:spacing w:line="360" w:lineRule="atLeast"/>
        <w:rPr>
          <w:rFonts w:eastAsia="Times New Roman" w:cstheme="minorHAnsi"/>
          <w:lang w:eastAsia="en-GB"/>
        </w:rPr>
      </w:pPr>
    </w:p>
    <w:p w:rsidR="008D5D5C" w:rsidRPr="004114DF" w:rsidRDefault="008D5D5C" w:rsidP="00981B6F">
      <w:pPr>
        <w:shd w:val="clear" w:color="auto" w:fill="FFFFFF"/>
        <w:spacing w:line="360" w:lineRule="atLeast"/>
        <w:rPr>
          <w:rFonts w:eastAsia="Times New Roman" w:cstheme="minorHAnsi"/>
          <w:b/>
          <w:lang w:eastAsia="en-GB"/>
        </w:rPr>
      </w:pPr>
      <w:r w:rsidRPr="004114DF">
        <w:rPr>
          <w:rFonts w:eastAsia="Times New Roman" w:cstheme="minorHAnsi"/>
          <w:b/>
          <w:lang w:eastAsia="en-GB"/>
        </w:rPr>
        <w:t>Online Safety</w:t>
      </w:r>
      <w:r w:rsidR="004114DF" w:rsidRPr="004114DF">
        <w:rPr>
          <w:rFonts w:eastAsia="Times New Roman" w:cstheme="minorHAnsi"/>
          <w:b/>
          <w:lang w:eastAsia="en-GB"/>
        </w:rPr>
        <w:t>: Project Evolve</w:t>
      </w:r>
    </w:p>
    <w:p w:rsidR="004114DF" w:rsidRDefault="004114DF" w:rsidP="00981B6F">
      <w:pPr>
        <w:shd w:val="clear" w:color="auto" w:fill="FFFFFF"/>
        <w:spacing w:line="360" w:lineRule="atLeast"/>
        <w:rPr>
          <w:rFonts w:eastAsia="Times New Roman" w:cstheme="minorHAnsi"/>
          <w:lang w:eastAsia="en-GB"/>
        </w:rPr>
      </w:pPr>
    </w:p>
    <w:tbl>
      <w:tblPr>
        <w:tblStyle w:val="TableGrid"/>
        <w:tblW w:w="0" w:type="auto"/>
        <w:tblLook w:val="04A0" w:firstRow="1" w:lastRow="0" w:firstColumn="1" w:lastColumn="0" w:noHBand="0" w:noVBand="1"/>
      </w:tblPr>
      <w:tblGrid>
        <w:gridCol w:w="1288"/>
        <w:gridCol w:w="2576"/>
        <w:gridCol w:w="2576"/>
        <w:gridCol w:w="2576"/>
      </w:tblGrid>
      <w:tr w:rsidR="004114DF" w:rsidTr="004114DF">
        <w:tc>
          <w:tcPr>
            <w:tcW w:w="1288" w:type="dxa"/>
            <w:vMerge w:val="restart"/>
            <w:shd w:val="clear" w:color="auto" w:fill="D9E2F3" w:themeFill="accent1" w:themeFillTint="33"/>
          </w:tcPr>
          <w:p w:rsidR="004114DF" w:rsidRDefault="004114DF" w:rsidP="00981B6F">
            <w:pPr>
              <w:spacing w:line="360" w:lineRule="atLeast"/>
              <w:rPr>
                <w:rFonts w:eastAsia="Times New Roman" w:cstheme="minorHAnsi"/>
                <w:lang w:eastAsia="en-GB"/>
              </w:rPr>
            </w:pPr>
            <w:r>
              <w:rPr>
                <w:rFonts w:eastAsia="Times New Roman" w:cstheme="minorHAnsi"/>
                <w:lang w:eastAsia="en-GB"/>
              </w:rPr>
              <w:t>EYFS</w:t>
            </w:r>
          </w:p>
        </w:tc>
        <w:tc>
          <w:tcPr>
            <w:tcW w:w="2576" w:type="dxa"/>
            <w:shd w:val="clear" w:color="auto" w:fill="D9E2F3" w:themeFill="accent1" w:themeFillTint="33"/>
          </w:tcPr>
          <w:p w:rsidR="004114DF" w:rsidRPr="004114DF" w:rsidRDefault="004114DF" w:rsidP="004114DF">
            <w:pPr>
              <w:spacing w:line="360" w:lineRule="atLeast"/>
              <w:jc w:val="center"/>
              <w:rPr>
                <w:rFonts w:eastAsia="Times New Roman" w:cstheme="minorHAnsi"/>
                <w:b/>
                <w:lang w:eastAsia="en-GB"/>
              </w:rPr>
            </w:pPr>
            <w:r w:rsidRPr="004114DF">
              <w:rPr>
                <w:rFonts w:eastAsia="Times New Roman" w:cstheme="minorHAnsi"/>
                <w:b/>
                <w:lang w:eastAsia="en-GB"/>
              </w:rPr>
              <w:t>Autumn Term</w:t>
            </w:r>
          </w:p>
        </w:tc>
        <w:tc>
          <w:tcPr>
            <w:tcW w:w="2576" w:type="dxa"/>
            <w:shd w:val="clear" w:color="auto" w:fill="D9E2F3" w:themeFill="accent1" w:themeFillTint="33"/>
          </w:tcPr>
          <w:p w:rsidR="004114DF" w:rsidRPr="004114DF" w:rsidRDefault="004114DF" w:rsidP="004114DF">
            <w:pPr>
              <w:spacing w:line="360" w:lineRule="atLeast"/>
              <w:jc w:val="center"/>
              <w:rPr>
                <w:rFonts w:eastAsia="Times New Roman" w:cstheme="minorHAnsi"/>
                <w:b/>
                <w:lang w:eastAsia="en-GB"/>
              </w:rPr>
            </w:pPr>
            <w:r w:rsidRPr="004114DF">
              <w:rPr>
                <w:rFonts w:eastAsia="Times New Roman" w:cstheme="minorHAnsi"/>
                <w:b/>
                <w:lang w:eastAsia="en-GB"/>
              </w:rPr>
              <w:t>Spring Term</w:t>
            </w:r>
          </w:p>
        </w:tc>
        <w:tc>
          <w:tcPr>
            <w:tcW w:w="2576" w:type="dxa"/>
            <w:shd w:val="clear" w:color="auto" w:fill="D9E2F3" w:themeFill="accent1" w:themeFillTint="33"/>
          </w:tcPr>
          <w:p w:rsidR="004114DF" w:rsidRPr="004114DF" w:rsidRDefault="004114DF" w:rsidP="004114DF">
            <w:pPr>
              <w:spacing w:line="360" w:lineRule="atLeast"/>
              <w:jc w:val="center"/>
              <w:rPr>
                <w:rFonts w:eastAsia="Times New Roman" w:cstheme="minorHAnsi"/>
                <w:b/>
                <w:lang w:eastAsia="en-GB"/>
              </w:rPr>
            </w:pPr>
            <w:r w:rsidRPr="004114DF">
              <w:rPr>
                <w:rFonts w:eastAsia="Times New Roman" w:cstheme="minorHAnsi"/>
                <w:b/>
                <w:lang w:eastAsia="en-GB"/>
              </w:rPr>
              <w:t>Summer Term</w:t>
            </w:r>
          </w:p>
        </w:tc>
      </w:tr>
      <w:tr w:rsidR="004114DF" w:rsidTr="004114DF">
        <w:tc>
          <w:tcPr>
            <w:tcW w:w="1288" w:type="dxa"/>
            <w:vMerge/>
            <w:shd w:val="clear" w:color="auto" w:fill="D9E2F3" w:themeFill="accent1" w:themeFillTint="33"/>
          </w:tcPr>
          <w:p w:rsidR="004114DF" w:rsidRDefault="004114DF" w:rsidP="00981B6F">
            <w:pPr>
              <w:spacing w:line="360" w:lineRule="atLeast"/>
              <w:rPr>
                <w:rFonts w:eastAsia="Times New Roman" w:cstheme="minorHAnsi"/>
                <w:lang w:eastAsia="en-GB"/>
              </w:rPr>
            </w:pPr>
          </w:p>
        </w:tc>
        <w:tc>
          <w:tcPr>
            <w:tcW w:w="2576" w:type="dxa"/>
            <w:shd w:val="clear" w:color="auto" w:fill="D9E2F3" w:themeFill="accent1" w:themeFillTint="33"/>
          </w:tcPr>
          <w:p w:rsidR="004114DF" w:rsidRPr="004114DF" w:rsidRDefault="004114DF" w:rsidP="004114DF">
            <w:pPr>
              <w:pStyle w:val="ListParagraph"/>
              <w:numPr>
                <w:ilvl w:val="0"/>
                <w:numId w:val="1"/>
              </w:numPr>
              <w:spacing w:line="360" w:lineRule="atLeast"/>
              <w:rPr>
                <w:rFonts w:eastAsia="Times New Roman" w:cstheme="minorHAnsi"/>
                <w:lang w:eastAsia="en-GB"/>
              </w:rPr>
            </w:pPr>
            <w:r w:rsidRPr="004114DF">
              <w:rPr>
                <w:rFonts w:eastAsia="Times New Roman" w:cstheme="minorHAnsi"/>
                <w:lang w:eastAsia="en-GB"/>
              </w:rPr>
              <w:t>Privacy and security</w:t>
            </w:r>
          </w:p>
          <w:p w:rsidR="004114DF" w:rsidRPr="004114DF" w:rsidRDefault="004114DF" w:rsidP="004114DF">
            <w:pPr>
              <w:pStyle w:val="ListParagraph"/>
              <w:numPr>
                <w:ilvl w:val="0"/>
                <w:numId w:val="1"/>
              </w:numPr>
              <w:spacing w:line="360" w:lineRule="atLeast"/>
              <w:rPr>
                <w:rFonts w:eastAsia="Times New Roman" w:cstheme="minorHAnsi"/>
                <w:lang w:eastAsia="en-GB"/>
              </w:rPr>
            </w:pPr>
            <w:r w:rsidRPr="004114DF">
              <w:rPr>
                <w:rFonts w:eastAsia="Times New Roman" w:cstheme="minorHAnsi"/>
                <w:lang w:eastAsia="en-GB"/>
              </w:rPr>
              <w:t>Copyright and ownership</w:t>
            </w:r>
          </w:p>
        </w:tc>
        <w:tc>
          <w:tcPr>
            <w:tcW w:w="2576" w:type="dxa"/>
            <w:shd w:val="clear" w:color="auto" w:fill="D9E2F3" w:themeFill="accent1" w:themeFillTint="33"/>
          </w:tcPr>
          <w:p w:rsidR="004114DF" w:rsidRPr="004114DF" w:rsidRDefault="004114DF" w:rsidP="004114DF">
            <w:pPr>
              <w:pStyle w:val="ListParagraph"/>
              <w:numPr>
                <w:ilvl w:val="0"/>
                <w:numId w:val="1"/>
              </w:numPr>
              <w:spacing w:line="360" w:lineRule="atLeast"/>
              <w:rPr>
                <w:rFonts w:eastAsia="Times New Roman" w:cstheme="minorHAnsi"/>
                <w:lang w:eastAsia="en-GB"/>
              </w:rPr>
            </w:pPr>
            <w:r w:rsidRPr="004114DF">
              <w:rPr>
                <w:rFonts w:eastAsia="Times New Roman" w:cstheme="minorHAnsi"/>
                <w:lang w:eastAsia="en-GB"/>
              </w:rPr>
              <w:t>Self-image and identity</w:t>
            </w:r>
          </w:p>
          <w:p w:rsidR="004114DF" w:rsidRPr="004114DF" w:rsidRDefault="004114DF" w:rsidP="004114DF">
            <w:pPr>
              <w:pStyle w:val="ListParagraph"/>
              <w:numPr>
                <w:ilvl w:val="0"/>
                <w:numId w:val="1"/>
              </w:numPr>
              <w:spacing w:line="360" w:lineRule="atLeast"/>
              <w:rPr>
                <w:rFonts w:eastAsia="Times New Roman" w:cstheme="minorHAnsi"/>
                <w:lang w:eastAsia="en-GB"/>
              </w:rPr>
            </w:pPr>
            <w:r w:rsidRPr="004114DF">
              <w:rPr>
                <w:rFonts w:eastAsia="Times New Roman" w:cstheme="minorHAnsi"/>
                <w:lang w:eastAsia="en-GB"/>
              </w:rPr>
              <w:t>Online relationships</w:t>
            </w:r>
          </w:p>
          <w:p w:rsidR="004114DF" w:rsidRPr="004114DF" w:rsidRDefault="004114DF" w:rsidP="004114DF">
            <w:pPr>
              <w:pStyle w:val="ListParagraph"/>
              <w:numPr>
                <w:ilvl w:val="0"/>
                <w:numId w:val="1"/>
              </w:numPr>
              <w:spacing w:line="360" w:lineRule="atLeast"/>
              <w:rPr>
                <w:rFonts w:eastAsia="Times New Roman" w:cstheme="minorHAnsi"/>
                <w:lang w:eastAsia="en-GB"/>
              </w:rPr>
            </w:pPr>
            <w:r w:rsidRPr="004114DF">
              <w:rPr>
                <w:rFonts w:eastAsia="Times New Roman" w:cstheme="minorHAnsi"/>
                <w:lang w:eastAsia="en-GB"/>
              </w:rPr>
              <w:t>Online reputation</w:t>
            </w:r>
          </w:p>
        </w:tc>
        <w:tc>
          <w:tcPr>
            <w:tcW w:w="2576" w:type="dxa"/>
            <w:shd w:val="clear" w:color="auto" w:fill="D9E2F3" w:themeFill="accent1" w:themeFillTint="33"/>
          </w:tcPr>
          <w:p w:rsidR="004114DF" w:rsidRPr="004114DF" w:rsidRDefault="004114DF" w:rsidP="004114DF">
            <w:pPr>
              <w:pStyle w:val="ListParagraph"/>
              <w:numPr>
                <w:ilvl w:val="0"/>
                <w:numId w:val="1"/>
              </w:numPr>
              <w:spacing w:line="360" w:lineRule="atLeast"/>
              <w:rPr>
                <w:rFonts w:eastAsia="Times New Roman" w:cstheme="minorHAnsi"/>
                <w:lang w:eastAsia="en-GB"/>
              </w:rPr>
            </w:pPr>
            <w:r w:rsidRPr="004114DF">
              <w:rPr>
                <w:rFonts w:eastAsia="Times New Roman" w:cstheme="minorHAnsi"/>
                <w:lang w:eastAsia="en-GB"/>
              </w:rPr>
              <w:t>Online bullying</w:t>
            </w:r>
          </w:p>
          <w:p w:rsidR="004114DF" w:rsidRPr="004114DF" w:rsidRDefault="004114DF" w:rsidP="004114DF">
            <w:pPr>
              <w:pStyle w:val="ListParagraph"/>
              <w:numPr>
                <w:ilvl w:val="0"/>
                <w:numId w:val="1"/>
              </w:numPr>
              <w:spacing w:line="360" w:lineRule="atLeast"/>
              <w:rPr>
                <w:rFonts w:eastAsia="Times New Roman" w:cstheme="minorHAnsi"/>
                <w:lang w:eastAsia="en-GB"/>
              </w:rPr>
            </w:pPr>
            <w:r w:rsidRPr="004114DF">
              <w:rPr>
                <w:rFonts w:eastAsia="Times New Roman" w:cstheme="minorHAnsi"/>
                <w:lang w:eastAsia="en-GB"/>
              </w:rPr>
              <w:t>Managing online information</w:t>
            </w:r>
          </w:p>
          <w:p w:rsidR="004114DF" w:rsidRPr="004114DF" w:rsidRDefault="004114DF" w:rsidP="004114DF">
            <w:pPr>
              <w:pStyle w:val="ListParagraph"/>
              <w:numPr>
                <w:ilvl w:val="0"/>
                <w:numId w:val="1"/>
              </w:numPr>
              <w:spacing w:line="360" w:lineRule="atLeast"/>
              <w:rPr>
                <w:rFonts w:eastAsia="Times New Roman" w:cstheme="minorHAnsi"/>
                <w:lang w:eastAsia="en-GB"/>
              </w:rPr>
            </w:pPr>
            <w:r w:rsidRPr="004114DF">
              <w:rPr>
                <w:rFonts w:eastAsia="Times New Roman" w:cstheme="minorHAnsi"/>
                <w:lang w:eastAsia="en-GB"/>
              </w:rPr>
              <w:t>Heath, well-being and lifestyle</w:t>
            </w:r>
          </w:p>
        </w:tc>
      </w:tr>
    </w:tbl>
    <w:p w:rsidR="008D5D5C" w:rsidRPr="008760FA" w:rsidRDefault="008D5D5C" w:rsidP="00981B6F">
      <w:pPr>
        <w:shd w:val="clear" w:color="auto" w:fill="FFFFFF"/>
        <w:spacing w:line="360" w:lineRule="atLeast"/>
        <w:rPr>
          <w:rFonts w:eastAsia="Times New Roman" w:cstheme="minorHAnsi"/>
          <w:lang w:eastAsia="en-GB"/>
        </w:rPr>
      </w:pPr>
    </w:p>
    <w:p w:rsidR="00981B6F" w:rsidRPr="008760FA" w:rsidRDefault="00981B6F" w:rsidP="00981B6F">
      <w:pPr>
        <w:shd w:val="clear" w:color="auto" w:fill="FFFFFF"/>
        <w:spacing w:line="360" w:lineRule="atLeast"/>
        <w:rPr>
          <w:rFonts w:ascii="Arial" w:eastAsia="Times New Roman" w:hAnsi="Arial" w:cs="Arial"/>
          <w:sz w:val="24"/>
          <w:szCs w:val="24"/>
          <w:lang w:eastAsia="en-GB"/>
        </w:rPr>
      </w:pPr>
    </w:p>
    <w:p w:rsidR="00981B6F" w:rsidRPr="008760FA" w:rsidRDefault="00981B6F"/>
    <w:sectPr w:rsidR="00981B6F" w:rsidRPr="008760FA">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14DF" w:rsidRDefault="004114DF" w:rsidP="004114DF">
      <w:r>
        <w:separator/>
      </w:r>
    </w:p>
  </w:endnote>
  <w:endnote w:type="continuationSeparator" w:id="0">
    <w:p w:rsidR="004114DF" w:rsidRDefault="004114DF" w:rsidP="00411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altName w:val="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14DF" w:rsidRDefault="004114DF" w:rsidP="004114DF">
      <w:r>
        <w:separator/>
      </w:r>
    </w:p>
  </w:footnote>
  <w:footnote w:type="continuationSeparator" w:id="0">
    <w:p w:rsidR="004114DF" w:rsidRDefault="004114DF" w:rsidP="00411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4DF" w:rsidRDefault="004114DF">
    <w:pPr>
      <w:pStyle w:val="Header"/>
    </w:pPr>
    <w:r>
      <w:t>Computing in EYFS</w:t>
    </w:r>
    <w:r>
      <w:ptab w:relativeTo="margin" w:alignment="center" w:leader="none"/>
    </w:r>
    <w:r>
      <w:t>Archbishop Courtenay Primary School</w:t>
    </w:r>
    <w:r>
      <w:ptab w:relativeTo="margin" w:alignment="right" w:leader="none"/>
    </w:r>
    <w:r>
      <w:t>September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CE64BC"/>
    <w:multiLevelType w:val="hybridMultilevel"/>
    <w:tmpl w:val="B5506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B6F"/>
    <w:rsid w:val="00031630"/>
    <w:rsid w:val="004114DF"/>
    <w:rsid w:val="00533CA6"/>
    <w:rsid w:val="008760FA"/>
    <w:rsid w:val="008D5D5C"/>
    <w:rsid w:val="00981B6F"/>
    <w:rsid w:val="00CE2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C5A52"/>
  <w15:chartTrackingRefBased/>
  <w15:docId w15:val="{51142F12-0594-4775-A98E-44C4527B9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1B6F"/>
    <w:rPr>
      <w:color w:val="0000FF"/>
      <w:u w:val="single"/>
    </w:rPr>
  </w:style>
  <w:style w:type="table" w:styleId="TableGrid">
    <w:name w:val="Table Grid"/>
    <w:basedOn w:val="TableNormal"/>
    <w:uiPriority w:val="39"/>
    <w:rsid w:val="00411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4DF"/>
    <w:pPr>
      <w:ind w:left="720"/>
      <w:contextualSpacing/>
    </w:pPr>
  </w:style>
  <w:style w:type="paragraph" w:styleId="Header">
    <w:name w:val="header"/>
    <w:basedOn w:val="Normal"/>
    <w:link w:val="HeaderChar"/>
    <w:uiPriority w:val="99"/>
    <w:unhideWhenUsed/>
    <w:rsid w:val="004114DF"/>
    <w:pPr>
      <w:tabs>
        <w:tab w:val="center" w:pos="4513"/>
        <w:tab w:val="right" w:pos="9026"/>
      </w:tabs>
    </w:pPr>
  </w:style>
  <w:style w:type="character" w:customStyle="1" w:styleId="HeaderChar">
    <w:name w:val="Header Char"/>
    <w:basedOn w:val="DefaultParagraphFont"/>
    <w:link w:val="Header"/>
    <w:uiPriority w:val="99"/>
    <w:rsid w:val="004114DF"/>
  </w:style>
  <w:style w:type="paragraph" w:styleId="Footer">
    <w:name w:val="footer"/>
    <w:basedOn w:val="Normal"/>
    <w:link w:val="FooterChar"/>
    <w:uiPriority w:val="99"/>
    <w:unhideWhenUsed/>
    <w:rsid w:val="004114DF"/>
    <w:pPr>
      <w:tabs>
        <w:tab w:val="center" w:pos="4513"/>
        <w:tab w:val="right" w:pos="9026"/>
      </w:tabs>
    </w:pPr>
  </w:style>
  <w:style w:type="character" w:customStyle="1" w:styleId="FooterChar">
    <w:name w:val="Footer Char"/>
    <w:basedOn w:val="DefaultParagraphFont"/>
    <w:link w:val="Footer"/>
    <w:uiPriority w:val="99"/>
    <w:rsid w:val="004114DF"/>
  </w:style>
  <w:style w:type="paragraph" w:styleId="BalloonText">
    <w:name w:val="Balloon Text"/>
    <w:basedOn w:val="Normal"/>
    <w:link w:val="BalloonTextChar"/>
    <w:uiPriority w:val="99"/>
    <w:semiHidden/>
    <w:unhideWhenUsed/>
    <w:rsid w:val="004114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4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819667">
      <w:bodyDiv w:val="1"/>
      <w:marLeft w:val="0"/>
      <w:marRight w:val="0"/>
      <w:marTop w:val="0"/>
      <w:marBottom w:val="0"/>
      <w:divBdr>
        <w:top w:val="none" w:sz="0" w:space="0" w:color="auto"/>
        <w:left w:val="none" w:sz="0" w:space="0" w:color="auto"/>
        <w:bottom w:val="none" w:sz="0" w:space="0" w:color="auto"/>
        <w:right w:val="none" w:sz="0" w:space="0" w:color="auto"/>
      </w:divBdr>
    </w:div>
    <w:div w:id="348455842">
      <w:bodyDiv w:val="1"/>
      <w:marLeft w:val="0"/>
      <w:marRight w:val="0"/>
      <w:marTop w:val="0"/>
      <w:marBottom w:val="0"/>
      <w:divBdr>
        <w:top w:val="none" w:sz="0" w:space="0" w:color="auto"/>
        <w:left w:val="none" w:sz="0" w:space="0" w:color="auto"/>
        <w:bottom w:val="none" w:sz="0" w:space="0" w:color="auto"/>
        <w:right w:val="none" w:sz="0" w:space="0" w:color="auto"/>
      </w:divBdr>
    </w:div>
    <w:div w:id="581917850">
      <w:bodyDiv w:val="1"/>
      <w:marLeft w:val="0"/>
      <w:marRight w:val="0"/>
      <w:marTop w:val="0"/>
      <w:marBottom w:val="0"/>
      <w:divBdr>
        <w:top w:val="none" w:sz="0" w:space="0" w:color="auto"/>
        <w:left w:val="none" w:sz="0" w:space="0" w:color="auto"/>
        <w:bottom w:val="none" w:sz="0" w:space="0" w:color="auto"/>
        <w:right w:val="none" w:sz="0" w:space="0" w:color="auto"/>
      </w:divBdr>
    </w:div>
    <w:div w:id="1008675998">
      <w:bodyDiv w:val="1"/>
      <w:marLeft w:val="0"/>
      <w:marRight w:val="0"/>
      <w:marTop w:val="0"/>
      <w:marBottom w:val="0"/>
      <w:divBdr>
        <w:top w:val="none" w:sz="0" w:space="0" w:color="auto"/>
        <w:left w:val="none" w:sz="0" w:space="0" w:color="auto"/>
        <w:bottom w:val="none" w:sz="0" w:space="0" w:color="auto"/>
        <w:right w:val="none" w:sz="0" w:space="0" w:color="auto"/>
      </w:divBdr>
    </w:div>
    <w:div w:id="1638413761">
      <w:bodyDiv w:val="1"/>
      <w:marLeft w:val="0"/>
      <w:marRight w:val="0"/>
      <w:marTop w:val="0"/>
      <w:marBottom w:val="0"/>
      <w:divBdr>
        <w:top w:val="none" w:sz="0" w:space="0" w:color="auto"/>
        <w:left w:val="none" w:sz="0" w:space="0" w:color="auto"/>
        <w:bottom w:val="none" w:sz="0" w:space="0" w:color="auto"/>
        <w:right w:val="none" w:sz="0" w:space="0" w:color="auto"/>
      </w:divBdr>
    </w:div>
    <w:div w:id="1838157696">
      <w:bodyDiv w:val="1"/>
      <w:marLeft w:val="0"/>
      <w:marRight w:val="0"/>
      <w:marTop w:val="0"/>
      <w:marBottom w:val="0"/>
      <w:divBdr>
        <w:top w:val="none" w:sz="0" w:space="0" w:color="auto"/>
        <w:left w:val="none" w:sz="0" w:space="0" w:color="auto"/>
        <w:bottom w:val="none" w:sz="0" w:space="0" w:color="auto"/>
        <w:right w:val="none" w:sz="0" w:space="0" w:color="auto"/>
      </w:divBdr>
    </w:div>
    <w:div w:id="203457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arly-years-foundation-stage-framework--2" TargetMode="External"/><Relationship Id="rId13" Type="http://schemas.openxmlformats.org/officeDocument/2006/relationships/hyperlink" Target="https://www.bbc.co.uk/bitesize/topics/zf2f9j6/articles/z3c6tfr" TargetMode="External"/><Relationship Id="rId18" Type="http://schemas.openxmlformats.org/officeDocument/2006/relationships/hyperlink" Target="https://apps.apple.com/us/app/doodle-buddy-paint-draw-app/id313232441?ign-mpt=uo%3D1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bbc.co.uk/news/technology-42907037" TargetMode="External"/><Relationship Id="rId17" Type="http://schemas.openxmlformats.org/officeDocument/2006/relationships/hyperlink" Target="https://www.amazon.co.uk/Goldilocks-Hashtag-Cautionary-Online-Picture/dp/1783448784/" TargetMode="External"/><Relationship Id="rId2" Type="http://schemas.openxmlformats.org/officeDocument/2006/relationships/styles" Target="styles.xml"/><Relationship Id="rId16" Type="http://schemas.openxmlformats.org/officeDocument/2006/relationships/hyperlink" Target="https://www.amazon.co.uk/Chicken-Clicking-Online-Safety-Picture/dp/178344161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de-it.co.uk/a-review-of-cognitive-load-theory-lessons-of-teaching-computing/" TargetMode="External"/><Relationship Id="rId5" Type="http://schemas.openxmlformats.org/officeDocument/2006/relationships/footnotes" Target="footnotes.xml"/><Relationship Id="rId15" Type="http://schemas.openxmlformats.org/officeDocument/2006/relationships/hyperlink" Target="http://code-it.co.uk/unplugged/jamsandwich" TargetMode="External"/><Relationship Id="rId10" Type="http://schemas.openxmlformats.org/officeDocument/2006/relationships/hyperlink" Target="https://www.gov.uk/government/publications/national-curriculum-in-england-computing-programmes-of-study" TargetMode="External"/><Relationship Id="rId19" Type="http://schemas.openxmlformats.org/officeDocument/2006/relationships/hyperlink" Target="https://dera.ioe.ac.uk/1093/1/Learning%20creative%20approaches%20that%20raise%20standards.pdf" TargetMode="External"/><Relationship Id="rId4" Type="http://schemas.openxmlformats.org/officeDocument/2006/relationships/webSettings" Target="webSettings.xml"/><Relationship Id="rId9" Type="http://schemas.openxmlformats.org/officeDocument/2006/relationships/hyperlink" Target="http://www.tts-group.co.uk/Hero-BeeBot.html" TargetMode="External"/><Relationship Id="rId14" Type="http://schemas.openxmlformats.org/officeDocument/2006/relationships/hyperlink" Target="https://apps.apple.com/us/app/animal-typing-lite/id92534113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1105</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LCopley</dc:creator>
  <cp:keywords/>
  <dc:description/>
  <cp:lastModifiedBy>LCopley</cp:lastModifiedBy>
  <cp:revision>2</cp:revision>
  <cp:lastPrinted>2024-07-05T10:55:00Z</cp:lastPrinted>
  <dcterms:created xsi:type="dcterms:W3CDTF">2024-07-05T10:56:00Z</dcterms:created>
  <dcterms:modified xsi:type="dcterms:W3CDTF">2024-07-05T10:56:00Z</dcterms:modified>
</cp:coreProperties>
</file>